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EB Garamond" w:cs="EB Garamond" w:eastAsia="EB Garamond" w:hAnsi="EB Garamond"/>
          <w:b w:val="1"/>
          <w:sz w:val="38"/>
          <w:szCs w:val="38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38"/>
          <w:szCs w:val="38"/>
          <w:rtl w:val="0"/>
        </w:rPr>
        <w:t xml:space="preserve">Eng502 Final Term Important Topic By Pin2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❖Instruments role in Semantics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❖Direct Speech Act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❖Aphasia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❖Language Barrier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❖Discourse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❖Sentence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❖Invisible Meaning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❖Surface structure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❖Deep structure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❖ Dictionary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❖Language Learning Stages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❖Two Phrase Structure Rule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❖ Sign Linguistics and Pragmatics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❖ Standard Varieties of English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❖ Wave Model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❖Cortex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❖Deixis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❖ Coherence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❖ Multilingualism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❖Bilingualism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❖ Lexicography/Lexicographers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❖ Linguistics in Japan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❖Krashen Model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❖ Multilingualism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❖ Bilingualism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❖ Critical Period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❖ Prosody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❖ Socio-Cultural Context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❖ Discourse as Dialogue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❖ CDA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❖ Denotative Meaning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❖Prototype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❖ One Word Stage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❖Holophrastic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❖ Compounding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❖ Discourse Analysis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❖ Metonymy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❖ Discourse Typology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❖Homonymy and Polysemy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❖ Aphasia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❖Wave Model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❖Language accusation stages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B Garamon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